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D55AB2" w:rsidRDefault="00A47C22" w:rsidP="00D55AB2">
      <w:pPr>
        <w:bidi/>
        <w:jc w:val="both"/>
        <w:rPr>
          <w:rFonts w:ascii="Noor_Badr" w:hAnsi="Noor_Badr" w:cs="Noor_Badr"/>
          <w:sz w:val="32"/>
          <w:szCs w:val="32"/>
          <w:rtl/>
          <w:lang w:bidi="fa-IR"/>
        </w:rPr>
      </w:pPr>
      <w:bookmarkStart w:id="0" w:name="_GoBack"/>
      <w:r w:rsidRPr="00D55AB2">
        <w:rPr>
          <w:rFonts w:ascii="Noor_Badr" w:hAnsi="Noor_Badr" w:cs="Noor_Badr"/>
          <w:sz w:val="32"/>
          <w:szCs w:val="32"/>
          <w:rtl/>
          <w:lang w:bidi="fa-IR"/>
        </w:rPr>
        <w:t>خارج اصول-جلسه سی ام-دوشنبه 27/ 8/ 97</w:t>
      </w:r>
    </w:p>
    <w:p w:rsidR="00A47C22" w:rsidRPr="00D55AB2" w:rsidRDefault="004C291A"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حدیث-ادامه خطبه وسیله</w:t>
      </w:r>
    </w:p>
    <w:p w:rsidR="00A47C22" w:rsidRPr="00D55AB2" w:rsidRDefault="00A47C22"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و لا مال أذهب بالفاقة من الرضا بالقناعة</w:t>
      </w:r>
      <w:r w:rsidR="00F401D9" w:rsidRPr="00D55AB2">
        <w:rPr>
          <w:rFonts w:ascii="Noor_Badr" w:hAnsi="Noor_Badr" w:cs="Noor_Badr"/>
          <w:sz w:val="32"/>
          <w:szCs w:val="32"/>
          <w:rtl/>
          <w:lang w:bidi="fa-IR"/>
        </w:rPr>
        <w:t>.</w:t>
      </w:r>
    </w:p>
    <w:p w:rsidR="00F401D9" w:rsidRPr="00D55AB2" w:rsidRDefault="00F401D9"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هیچ چیز مانند رضایت به قناعت</w:t>
      </w:r>
      <w:r w:rsidR="000A1FBA" w:rsidRPr="00D55AB2">
        <w:rPr>
          <w:rFonts w:ascii="Noor_Badr" w:hAnsi="Noor_Badr" w:cs="Noor_Badr"/>
          <w:sz w:val="32"/>
          <w:szCs w:val="32"/>
          <w:rtl/>
          <w:lang w:bidi="fa-IR"/>
        </w:rPr>
        <w:t>(رضایت به مقداری که دارد)</w:t>
      </w:r>
      <w:r w:rsidRPr="00D55AB2">
        <w:rPr>
          <w:rFonts w:ascii="Noor_Badr" w:hAnsi="Noor_Badr" w:cs="Noor_Badr"/>
          <w:sz w:val="32"/>
          <w:szCs w:val="32"/>
          <w:rtl/>
          <w:lang w:bidi="fa-IR"/>
        </w:rPr>
        <w:t>، نیازمندی را ازبین نمی برد.</w:t>
      </w:r>
    </w:p>
    <w:p w:rsidR="00134399" w:rsidRPr="00D55AB2" w:rsidRDefault="00134399"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w:t>
      </w:r>
    </w:p>
    <w:p w:rsidR="00134399" w:rsidRPr="00D55AB2" w:rsidRDefault="00B13A7B"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کلام در ادله اجتهادی حکم اضطراری بود.</w:t>
      </w:r>
    </w:p>
    <w:p w:rsidR="00B13A7B" w:rsidRPr="00D55AB2" w:rsidRDefault="00087F5A"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محقق عراقی قبل از</w:t>
      </w:r>
      <w:r w:rsidR="0043044E" w:rsidRPr="00D55AB2">
        <w:rPr>
          <w:rFonts w:ascii="Noor_Badr" w:hAnsi="Noor_Badr" w:cs="Noor_Badr"/>
          <w:sz w:val="32"/>
          <w:szCs w:val="32"/>
          <w:rtl/>
          <w:lang w:bidi="fa-IR"/>
        </w:rPr>
        <w:t xml:space="preserve"> بیان</w:t>
      </w:r>
      <w:r w:rsidRPr="00D55AB2">
        <w:rPr>
          <w:rFonts w:ascii="Noor_Badr" w:hAnsi="Noor_Badr" w:cs="Noor_Badr"/>
          <w:sz w:val="32"/>
          <w:szCs w:val="32"/>
          <w:rtl/>
          <w:lang w:bidi="fa-IR"/>
        </w:rPr>
        <w:t xml:space="preserve"> ادله، مطلبی مربوط به عالم ثبوت بیان کرد و حکم اضطراری را دو قسم کرد: شک در وافی بودن و شک در مفوتیت؛ که درهردو فرمود، تکلیف احتیاط است.</w:t>
      </w:r>
    </w:p>
    <w:p w:rsidR="00AE564D" w:rsidRPr="00D55AB2" w:rsidRDefault="00AE564D"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اشکال محقق خوئی بر محقق عراقی:</w:t>
      </w:r>
    </w:p>
    <w:p w:rsidR="00144E80" w:rsidRPr="00D55AB2" w:rsidRDefault="003452E2"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 xml:space="preserve">هردو وجه این مطلب محل تامل است؛اما وجه </w:t>
      </w:r>
      <w:r w:rsidR="0045750B" w:rsidRPr="00D55AB2">
        <w:rPr>
          <w:rFonts w:ascii="Noor_Badr" w:hAnsi="Noor_Badr" w:cs="Noor_Badr"/>
          <w:sz w:val="32"/>
          <w:szCs w:val="32"/>
          <w:rtl/>
          <w:lang w:bidi="fa-IR"/>
        </w:rPr>
        <w:t>دوم</w:t>
      </w:r>
      <w:r w:rsidRPr="00D55AB2">
        <w:rPr>
          <w:rFonts w:ascii="Noor_Badr" w:hAnsi="Noor_Badr" w:cs="Noor_Badr"/>
          <w:sz w:val="32"/>
          <w:szCs w:val="32"/>
          <w:rtl/>
          <w:lang w:bidi="fa-IR"/>
        </w:rPr>
        <w:t>(مفوتیت): محقق عراقی فرمود: چون شک در قدرت مکلف است که نمی داند با اتیان ماموربه اضطراری</w:t>
      </w:r>
      <w:r w:rsidR="00A55B68" w:rsidRPr="00D55AB2">
        <w:rPr>
          <w:rFonts w:ascii="Noor_Badr" w:hAnsi="Noor_Badr" w:cs="Noor_Badr"/>
          <w:sz w:val="32"/>
          <w:szCs w:val="32"/>
          <w:rtl/>
          <w:lang w:bidi="fa-IR"/>
        </w:rPr>
        <w:t>،</w:t>
      </w:r>
      <w:r w:rsidRPr="00D55AB2">
        <w:rPr>
          <w:rFonts w:ascii="Noor_Badr" w:hAnsi="Noor_Badr" w:cs="Noor_Badr"/>
          <w:sz w:val="32"/>
          <w:szCs w:val="32"/>
          <w:rtl/>
          <w:lang w:bidi="fa-IR"/>
        </w:rPr>
        <w:t xml:space="preserve"> تکلیف را ادا کرده یا نه، مجرای احتیاط است</w:t>
      </w:r>
      <w:r w:rsidR="003E6811" w:rsidRPr="00D55AB2">
        <w:rPr>
          <w:rFonts w:ascii="Noor_Badr" w:hAnsi="Noor_Badr" w:cs="Noor_Badr"/>
          <w:sz w:val="32"/>
          <w:szCs w:val="32"/>
          <w:rtl/>
          <w:lang w:bidi="fa-IR"/>
        </w:rPr>
        <w:t xml:space="preserve"> نه برائت؛</w:t>
      </w:r>
    </w:p>
    <w:p w:rsidR="003E6811" w:rsidRPr="00D55AB2" w:rsidRDefault="00144E80"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اما اشکال:</w:t>
      </w:r>
      <w:r w:rsidR="003E6811" w:rsidRPr="00D55AB2">
        <w:rPr>
          <w:rFonts w:ascii="Noor_Badr" w:hAnsi="Noor_Badr" w:cs="Noor_Badr"/>
          <w:sz w:val="32"/>
          <w:szCs w:val="32"/>
          <w:rtl/>
          <w:lang w:bidi="fa-IR"/>
        </w:rPr>
        <w:t xml:space="preserve"> فرمایش ایشان بر اساس مبنای ما صحیح نیست زیرا ادله برائت عمومیت دارد و همه موارد شک در تکلیف را می گیرد( چه شک در قدرت و چه شک بدوی بخاطر فقدان یا اجمال یا تعارض نص) و دلیلی بر تقیید اصالة البرائة توسط شک در قدرت، وجود ندارد.</w:t>
      </w:r>
    </w:p>
    <w:p w:rsidR="00144E80" w:rsidRPr="00D55AB2" w:rsidRDefault="00D3413D"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lastRenderedPageBreak/>
        <w:t xml:space="preserve">اما وجه </w:t>
      </w:r>
      <w:r w:rsidR="0045750B" w:rsidRPr="00D55AB2">
        <w:rPr>
          <w:rFonts w:ascii="Noor_Badr" w:hAnsi="Noor_Badr" w:cs="Noor_Badr"/>
          <w:sz w:val="32"/>
          <w:szCs w:val="32"/>
          <w:rtl/>
          <w:lang w:bidi="fa-IR"/>
        </w:rPr>
        <w:t>اول</w:t>
      </w:r>
      <w:r w:rsidRPr="00D55AB2">
        <w:rPr>
          <w:rFonts w:ascii="Noor_Badr" w:hAnsi="Noor_Badr" w:cs="Noor_Badr"/>
          <w:sz w:val="32"/>
          <w:szCs w:val="32"/>
          <w:rtl/>
          <w:lang w:bidi="fa-IR"/>
        </w:rPr>
        <w:t>(وافی بودن):</w:t>
      </w:r>
      <w:r w:rsidR="0045750B" w:rsidRPr="00D55AB2">
        <w:rPr>
          <w:rFonts w:ascii="Noor_Badr" w:hAnsi="Noor_Badr" w:cs="Noor_Badr"/>
          <w:sz w:val="32"/>
          <w:szCs w:val="32"/>
          <w:rtl/>
          <w:lang w:bidi="fa-IR"/>
        </w:rPr>
        <w:t xml:space="preserve"> محقق عراقی فرمود: دوران بین تعیین و تخییر است ومجرای اشتغال است لذا باید قائل به تعیین شویم.</w:t>
      </w:r>
    </w:p>
    <w:p w:rsidR="003452E2" w:rsidRPr="00D55AB2" w:rsidRDefault="00144E80"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اما اشکال:</w:t>
      </w:r>
      <w:r w:rsidR="0045750B" w:rsidRPr="00D55AB2">
        <w:rPr>
          <w:rFonts w:ascii="Noor_Badr" w:hAnsi="Noor_Badr" w:cs="Noor_Badr"/>
          <w:sz w:val="32"/>
          <w:szCs w:val="32"/>
          <w:rtl/>
          <w:lang w:bidi="fa-IR"/>
        </w:rPr>
        <w:t xml:space="preserve"> دوران امر بین تعیین و تخییر، قبول است، لکن</w:t>
      </w:r>
      <w:r w:rsidRPr="00D55AB2">
        <w:rPr>
          <w:rFonts w:ascii="Noor_Badr" w:hAnsi="Noor_Badr" w:cs="Noor_Badr"/>
          <w:sz w:val="32"/>
          <w:szCs w:val="32"/>
          <w:rtl/>
          <w:lang w:bidi="fa-IR"/>
        </w:rPr>
        <w:t xml:space="preserve"> مرجع درآن برائت است نه قاعده اشتغال؛ و دلیل این مدعی آن است که ما در جای خودش اثبات کردیم که در تمام موارد دوران امر بین تعیین و تخییر باید برائت جاری شود الا دو مورد:</w:t>
      </w:r>
    </w:p>
    <w:p w:rsidR="00144E80" w:rsidRPr="00D55AB2" w:rsidRDefault="00144E80"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1-</w:t>
      </w:r>
      <w:r w:rsidR="00F75C19" w:rsidRPr="00D55AB2">
        <w:rPr>
          <w:rFonts w:ascii="Noor_Badr" w:hAnsi="Noor_Badr" w:cs="Noor_Badr"/>
          <w:sz w:val="32"/>
          <w:szCs w:val="32"/>
          <w:rtl/>
          <w:lang w:bidi="fa-IR"/>
        </w:rPr>
        <w:t>در دوران امر بین تعیین و تخییر در باب ح</w:t>
      </w:r>
      <w:r w:rsidR="00A55B68" w:rsidRPr="00D55AB2">
        <w:rPr>
          <w:rFonts w:ascii="Noor_Badr" w:hAnsi="Noor_Badr" w:cs="Noor_Badr"/>
          <w:sz w:val="32"/>
          <w:szCs w:val="32"/>
          <w:rtl/>
          <w:lang w:bidi="fa-IR"/>
        </w:rPr>
        <w:t>جیت دلیل مثلا دلیلی بر وجوب یک شیئ</w:t>
      </w:r>
      <w:r w:rsidR="00F75C19" w:rsidRPr="00D55AB2">
        <w:rPr>
          <w:rFonts w:ascii="Noor_Badr" w:hAnsi="Noor_Badr" w:cs="Noor_Badr"/>
          <w:sz w:val="32"/>
          <w:szCs w:val="32"/>
          <w:rtl/>
          <w:lang w:bidi="fa-IR"/>
        </w:rPr>
        <w:t xml:space="preserve"> و دلیلی بر حرمت آن داریم و از خارج می دانیم که یکی از این دو دلیل حجت است؛ در این صورت اگر این دو دلیل از جهت اعتبارات مساوی باشند، حجیت، تخییری است و اگر یکی از این دو، احتمال رجحان دارد همان حجت است زیرا این دلیل محتمل الرجحان علی کل حال حجت است بخلاف دلیل دیگر که با احتمال حجیت دلیل اول، حجیت ندارد زیرا احتمال رجحان ن</w:t>
      </w:r>
      <w:r w:rsidR="0036171F" w:rsidRPr="00D55AB2">
        <w:rPr>
          <w:rFonts w:ascii="Noor_Badr" w:hAnsi="Noor_Badr" w:cs="Noor_Badr"/>
          <w:sz w:val="32"/>
          <w:szCs w:val="32"/>
          <w:rtl/>
          <w:lang w:bidi="fa-IR"/>
        </w:rPr>
        <w:t xml:space="preserve">دارد در نتیجه در حجیت آن دلیل </w:t>
      </w:r>
      <w:r w:rsidR="00F75C19" w:rsidRPr="00D55AB2">
        <w:rPr>
          <w:rFonts w:ascii="Noor_Badr" w:hAnsi="Noor_Badr" w:cs="Noor_Badr"/>
          <w:sz w:val="32"/>
          <w:szCs w:val="32"/>
          <w:rtl/>
          <w:lang w:bidi="fa-IR"/>
        </w:rPr>
        <w:t xml:space="preserve"> شک داریم و شک در حجیت</w:t>
      </w:r>
      <w:r w:rsidR="00623450" w:rsidRPr="00D55AB2">
        <w:rPr>
          <w:rFonts w:ascii="Noor_Badr" w:hAnsi="Noor_Badr" w:cs="Noor_Badr"/>
          <w:sz w:val="32"/>
          <w:szCs w:val="32"/>
          <w:rtl/>
          <w:lang w:bidi="fa-IR"/>
        </w:rPr>
        <w:t>،</w:t>
      </w:r>
      <w:r w:rsidR="00F75C19" w:rsidRPr="00D55AB2">
        <w:rPr>
          <w:rFonts w:ascii="Noor_Badr" w:hAnsi="Noor_Badr" w:cs="Noor_Badr"/>
          <w:sz w:val="32"/>
          <w:szCs w:val="32"/>
          <w:rtl/>
          <w:lang w:bidi="fa-IR"/>
        </w:rPr>
        <w:t xml:space="preserve"> در عالم ثبوت </w:t>
      </w:r>
      <w:r w:rsidR="0036171F" w:rsidRPr="00D55AB2">
        <w:rPr>
          <w:rFonts w:ascii="Noor_Badr" w:hAnsi="Noor_Badr" w:cs="Noor_Badr"/>
          <w:sz w:val="32"/>
          <w:szCs w:val="32"/>
          <w:rtl/>
          <w:lang w:bidi="fa-IR"/>
        </w:rPr>
        <w:t>(</w:t>
      </w:r>
      <w:r w:rsidR="00F75C19" w:rsidRPr="00D55AB2">
        <w:rPr>
          <w:rFonts w:ascii="Noor_Badr" w:hAnsi="Noor_Badr" w:cs="Noor_Badr"/>
          <w:sz w:val="32"/>
          <w:szCs w:val="32"/>
          <w:rtl/>
          <w:lang w:bidi="fa-IR"/>
        </w:rPr>
        <w:t>به اینکه آیا حجیت برای آن انشاء شده یا نه</w:t>
      </w:r>
      <w:r w:rsidR="0036171F" w:rsidRPr="00D55AB2">
        <w:rPr>
          <w:rFonts w:ascii="Noor_Badr" w:hAnsi="Noor_Badr" w:cs="Noor_Badr"/>
          <w:sz w:val="32"/>
          <w:szCs w:val="32"/>
          <w:rtl/>
          <w:lang w:bidi="fa-IR"/>
        </w:rPr>
        <w:t>)</w:t>
      </w:r>
      <w:r w:rsidR="00F75C19" w:rsidRPr="00D55AB2">
        <w:rPr>
          <w:rFonts w:ascii="Noor_Badr" w:hAnsi="Noor_Badr" w:cs="Noor_Badr"/>
          <w:sz w:val="32"/>
          <w:szCs w:val="32"/>
          <w:rtl/>
          <w:lang w:bidi="fa-IR"/>
        </w:rPr>
        <w:t xml:space="preserve">، </w:t>
      </w:r>
      <w:r w:rsidR="0036171F" w:rsidRPr="00D55AB2">
        <w:rPr>
          <w:rFonts w:ascii="Noor_Badr" w:hAnsi="Noor_Badr" w:cs="Noor_Badr"/>
          <w:sz w:val="32"/>
          <w:szCs w:val="32"/>
          <w:rtl/>
          <w:lang w:bidi="fa-IR"/>
        </w:rPr>
        <w:t>مساوی با یقین به عدم حجیت</w:t>
      </w:r>
      <w:r w:rsidR="00623450" w:rsidRPr="00D55AB2">
        <w:rPr>
          <w:rFonts w:ascii="Noor_Badr" w:hAnsi="Noor_Badr" w:cs="Noor_Badr"/>
          <w:sz w:val="32"/>
          <w:szCs w:val="32"/>
          <w:rtl/>
          <w:lang w:bidi="fa-IR"/>
        </w:rPr>
        <w:t xml:space="preserve"> در مرحله فعلیت</w:t>
      </w:r>
      <w:r w:rsidR="0036171F" w:rsidRPr="00D55AB2">
        <w:rPr>
          <w:rFonts w:ascii="Noor_Badr" w:hAnsi="Noor_Badr" w:cs="Noor_Badr"/>
          <w:sz w:val="32"/>
          <w:szCs w:val="32"/>
          <w:rtl/>
          <w:lang w:bidi="fa-IR"/>
        </w:rPr>
        <w:t xml:space="preserve"> است لذا از مؤثر بودن ساقط می شود و معنای حکم عقل به تعیین</w:t>
      </w:r>
      <w:r w:rsidR="00935CD3" w:rsidRPr="00D55AB2">
        <w:rPr>
          <w:rFonts w:ascii="Noor_Badr" w:hAnsi="Noor_Badr" w:cs="Noor_Badr"/>
          <w:sz w:val="32"/>
          <w:szCs w:val="32"/>
          <w:rtl/>
          <w:lang w:bidi="fa-IR"/>
        </w:rPr>
        <w:t xml:space="preserve"> در این مورد، همین است و قائل می شویم که محتمل الرجحان معینا حجت است بخلاف دیگری و قاعده اشتغال بر اساس عقل، تعیین را انتخاب می کند.</w:t>
      </w:r>
    </w:p>
    <w:p w:rsidR="00251477" w:rsidRPr="00D55AB2" w:rsidRDefault="00B02384"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2-در باب تزاحم و امتثال در</w:t>
      </w:r>
      <w:r w:rsidR="00193492" w:rsidRPr="00D55AB2">
        <w:rPr>
          <w:rFonts w:ascii="Noor_Badr" w:hAnsi="Noor_Badr" w:cs="Noor_Badr"/>
          <w:sz w:val="32"/>
          <w:szCs w:val="32"/>
          <w:rtl/>
          <w:lang w:bidi="fa-IR"/>
        </w:rPr>
        <w:t>صورت</w:t>
      </w:r>
      <w:r w:rsidRPr="00D55AB2">
        <w:rPr>
          <w:rFonts w:ascii="Noor_Badr" w:hAnsi="Noor_Badr" w:cs="Noor_Badr"/>
          <w:sz w:val="32"/>
          <w:szCs w:val="32"/>
          <w:rtl/>
          <w:lang w:bidi="fa-IR"/>
        </w:rPr>
        <w:t xml:space="preserve"> تساوی دو حکم و تخییر مکلف مثلا دو عالم در حال غرق شدن اند </w:t>
      </w:r>
      <w:r w:rsidR="00A60E57" w:rsidRPr="00D55AB2">
        <w:rPr>
          <w:rFonts w:ascii="Noor_Badr" w:hAnsi="Noor_Badr" w:cs="Noor_Badr"/>
          <w:sz w:val="32"/>
          <w:szCs w:val="32"/>
          <w:rtl/>
          <w:lang w:bidi="fa-IR"/>
        </w:rPr>
        <w:t xml:space="preserve">و یکی را بیشتر نمی تواند نجات دهد؛ در اینصورت اگر یکی از این دو نفر احتمال اهم بودن را دارد مثلا یکی فقیه است و یکی نحوی و احتمال دارد که فقیه اهم باشد، تعیین مقدم بر تخییر است زیرا به حکم عقل </w:t>
      </w:r>
      <w:r w:rsidR="005D4C4F" w:rsidRPr="00D55AB2">
        <w:rPr>
          <w:rFonts w:ascii="Noor_Badr" w:hAnsi="Noor_Badr" w:cs="Noor_Badr"/>
          <w:sz w:val="32"/>
          <w:szCs w:val="32"/>
          <w:rtl/>
          <w:lang w:bidi="fa-IR"/>
        </w:rPr>
        <w:t>"</w:t>
      </w:r>
      <w:r w:rsidR="00A60E57" w:rsidRPr="00D55AB2">
        <w:rPr>
          <w:rFonts w:ascii="Noor_Badr" w:hAnsi="Noor_Badr" w:cs="Noor_Badr"/>
          <w:sz w:val="32"/>
          <w:szCs w:val="32"/>
          <w:rtl/>
          <w:lang w:bidi="fa-IR"/>
        </w:rPr>
        <w:t>اشتغال الیقینی یستدعی فراغ الیقینی</w:t>
      </w:r>
      <w:r w:rsidR="005D4C4F" w:rsidRPr="00D55AB2">
        <w:rPr>
          <w:rFonts w:ascii="Noor_Badr" w:hAnsi="Noor_Badr" w:cs="Noor_Badr"/>
          <w:sz w:val="32"/>
          <w:szCs w:val="32"/>
          <w:rtl/>
          <w:lang w:bidi="fa-IR"/>
        </w:rPr>
        <w:t>"</w:t>
      </w:r>
      <w:r w:rsidR="000373CB" w:rsidRPr="00D55AB2">
        <w:rPr>
          <w:rFonts w:ascii="Noor_Badr" w:hAnsi="Noor_Badr" w:cs="Noor_Badr"/>
          <w:sz w:val="32"/>
          <w:szCs w:val="32"/>
          <w:rtl/>
          <w:lang w:bidi="fa-IR"/>
        </w:rPr>
        <w:t>؛ یعنی مکلف یقین دارد به اشتغال ذمه و باید مؤَمِّن در باب تکلیف را حاصل کند و محتمل الاهمیة علی کل حال مؤم</w:t>
      </w:r>
      <w:r w:rsidR="005D4C4F" w:rsidRPr="00D55AB2">
        <w:rPr>
          <w:rFonts w:ascii="Noor_Badr" w:hAnsi="Noor_Badr" w:cs="Noor_Badr"/>
          <w:sz w:val="32"/>
          <w:szCs w:val="32"/>
          <w:rtl/>
          <w:lang w:bidi="fa-IR"/>
        </w:rPr>
        <w:t>ّ</w:t>
      </w:r>
      <w:r w:rsidR="000373CB" w:rsidRPr="00D55AB2">
        <w:rPr>
          <w:rFonts w:ascii="Noor_Badr" w:hAnsi="Noor_Badr" w:cs="Noor_Badr"/>
          <w:sz w:val="32"/>
          <w:szCs w:val="32"/>
          <w:rtl/>
          <w:lang w:bidi="fa-IR"/>
        </w:rPr>
        <w:t>ن است لذا حکم می شود به تعیین آن.</w:t>
      </w:r>
    </w:p>
    <w:p w:rsidR="000F2EAF" w:rsidRPr="00D55AB2" w:rsidRDefault="00442217" w:rsidP="00D55AB2">
      <w:pPr>
        <w:bidi/>
        <w:jc w:val="both"/>
        <w:rPr>
          <w:rFonts w:ascii="Noor_Badr" w:hAnsi="Noor_Badr" w:cs="Noor_Badr"/>
          <w:sz w:val="32"/>
          <w:szCs w:val="32"/>
          <w:rtl/>
          <w:lang w:bidi="fa-IR"/>
        </w:rPr>
      </w:pPr>
      <w:r w:rsidRPr="00D55AB2">
        <w:rPr>
          <w:rFonts w:ascii="Noor_Badr" w:hAnsi="Noor_Badr" w:cs="Noor_Badr"/>
          <w:sz w:val="32"/>
          <w:szCs w:val="32"/>
          <w:rtl/>
          <w:lang w:bidi="fa-IR"/>
        </w:rPr>
        <w:t xml:space="preserve">اما </w:t>
      </w:r>
      <w:r w:rsidR="0086798E" w:rsidRPr="00D55AB2">
        <w:rPr>
          <w:rFonts w:ascii="Noor_Badr" w:hAnsi="Noor_Badr" w:cs="Noor_Badr"/>
          <w:sz w:val="32"/>
          <w:szCs w:val="32"/>
          <w:rtl/>
          <w:lang w:bidi="fa-IR"/>
        </w:rPr>
        <w:t>در غیر این دو مورد، مرجع اصالة البرائة</w:t>
      </w:r>
      <w:r w:rsidR="001F10A1" w:rsidRPr="00D55AB2">
        <w:rPr>
          <w:rFonts w:ascii="Noor_Badr" w:hAnsi="Noor_Badr" w:cs="Noor_Badr"/>
          <w:sz w:val="32"/>
          <w:szCs w:val="32"/>
          <w:rtl/>
          <w:lang w:bidi="fa-IR"/>
        </w:rPr>
        <w:t xml:space="preserve"> می باشد زیرا تکلیف به جامع تع</w:t>
      </w:r>
      <w:r w:rsidRPr="00D55AB2">
        <w:rPr>
          <w:rFonts w:ascii="Noor_Badr" w:hAnsi="Noor_Badr" w:cs="Noor_Badr"/>
          <w:sz w:val="32"/>
          <w:szCs w:val="32"/>
          <w:rtl/>
          <w:lang w:bidi="fa-IR"/>
        </w:rPr>
        <w:t>لق گرفته است و از این نظر واضح است ولی از جهت تعلق تکلیف به خصوصیتی بیش از جامع، مشکوک است مانند دوران امر بین اقل و اکثر ارتباطی</w:t>
      </w:r>
      <w:r w:rsidR="00A24726" w:rsidRPr="00D55AB2">
        <w:rPr>
          <w:rFonts w:ascii="Noor_Badr" w:hAnsi="Noor_Badr" w:cs="Noor_Badr"/>
          <w:sz w:val="32"/>
          <w:szCs w:val="32"/>
          <w:rtl/>
          <w:lang w:bidi="fa-IR"/>
        </w:rPr>
        <w:t>.</w:t>
      </w:r>
      <w:r w:rsidR="00A24726" w:rsidRPr="00D55AB2">
        <w:rPr>
          <w:rStyle w:val="FootnoteReference"/>
          <w:rFonts w:ascii="Noor_Badr" w:hAnsi="Noor_Badr" w:cs="Noor_Badr"/>
          <w:sz w:val="32"/>
          <w:szCs w:val="32"/>
          <w:rtl/>
          <w:lang w:bidi="fa-IR"/>
        </w:rPr>
        <w:footnoteReference w:id="1"/>
      </w:r>
    </w:p>
    <w:p w:rsidR="00EF10C5" w:rsidRPr="00D55AB2" w:rsidRDefault="00EF10C5" w:rsidP="00D55AB2">
      <w:pPr>
        <w:bidi/>
        <w:jc w:val="both"/>
        <w:rPr>
          <w:rFonts w:ascii="Noor_Badr" w:hAnsi="Noor_Badr" w:cs="Noor_Badr"/>
          <w:sz w:val="32"/>
          <w:szCs w:val="32"/>
          <w:lang w:bidi="fa-IR"/>
        </w:rPr>
      </w:pPr>
      <w:r w:rsidRPr="00D55AB2">
        <w:rPr>
          <w:rFonts w:ascii="Noor_Badr" w:hAnsi="Noor_Badr" w:cs="Noor_Badr"/>
          <w:sz w:val="32"/>
          <w:szCs w:val="32"/>
          <w:rtl/>
          <w:lang w:bidi="fa-IR"/>
        </w:rPr>
        <w:t>(پایان)</w:t>
      </w:r>
      <w:bookmarkEnd w:id="0"/>
    </w:p>
    <w:sectPr w:rsidR="00EF10C5" w:rsidRPr="00D55AB2" w:rsidSect="00D55AB2">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28B" w:rsidRDefault="00C4528B" w:rsidP="00A24726">
      <w:pPr>
        <w:spacing w:after="0" w:line="240" w:lineRule="auto"/>
      </w:pPr>
      <w:r>
        <w:separator/>
      </w:r>
    </w:p>
  </w:endnote>
  <w:endnote w:type="continuationSeparator" w:id="0">
    <w:p w:rsidR="00C4528B" w:rsidRDefault="00C4528B" w:rsidP="00A24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28B" w:rsidRDefault="00C4528B" w:rsidP="00A24726">
      <w:pPr>
        <w:spacing w:after="0" w:line="240" w:lineRule="auto"/>
      </w:pPr>
      <w:r>
        <w:separator/>
      </w:r>
    </w:p>
  </w:footnote>
  <w:footnote w:type="continuationSeparator" w:id="0">
    <w:p w:rsidR="00C4528B" w:rsidRDefault="00C4528B" w:rsidP="00A24726">
      <w:pPr>
        <w:spacing w:after="0" w:line="240" w:lineRule="auto"/>
      </w:pPr>
      <w:r>
        <w:continuationSeparator/>
      </w:r>
    </w:p>
  </w:footnote>
  <w:footnote w:id="1">
    <w:p w:rsidR="00A24726" w:rsidRPr="00A24726" w:rsidRDefault="00A24726">
      <w:pPr>
        <w:pStyle w:val="FootnoteText"/>
        <w:rPr>
          <w:sz w:val="24"/>
          <w:szCs w:val="24"/>
          <w:rtl/>
          <w:lang w:bidi="fa-IR"/>
        </w:rPr>
      </w:pPr>
      <w:r w:rsidRPr="00A24726">
        <w:rPr>
          <w:rStyle w:val="FootnoteReference"/>
          <w:sz w:val="24"/>
          <w:szCs w:val="24"/>
        </w:rPr>
        <w:footnoteRef/>
      </w:r>
      <w:r w:rsidRPr="00A24726">
        <w:rPr>
          <w:sz w:val="24"/>
          <w:szCs w:val="24"/>
        </w:rPr>
        <w:t xml:space="preserve"> </w:t>
      </w:r>
      <w:r w:rsidRPr="00A24726">
        <w:rPr>
          <w:rFonts w:hint="cs"/>
          <w:sz w:val="24"/>
          <w:szCs w:val="24"/>
          <w:rtl/>
          <w:lang w:bidi="fa-IR"/>
        </w:rPr>
        <w:t>محاضرات ج2 ص250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C22"/>
    <w:rsid w:val="000373CB"/>
    <w:rsid w:val="00087F5A"/>
    <w:rsid w:val="000A1FBA"/>
    <w:rsid w:val="000F2EAF"/>
    <w:rsid w:val="00134399"/>
    <w:rsid w:val="00144E80"/>
    <w:rsid w:val="00193492"/>
    <w:rsid w:val="001F10A1"/>
    <w:rsid w:val="00251477"/>
    <w:rsid w:val="003452E2"/>
    <w:rsid w:val="0036171F"/>
    <w:rsid w:val="003E6811"/>
    <w:rsid w:val="0043044E"/>
    <w:rsid w:val="00442217"/>
    <w:rsid w:val="0045750B"/>
    <w:rsid w:val="004C291A"/>
    <w:rsid w:val="005C7205"/>
    <w:rsid w:val="005D4C4F"/>
    <w:rsid w:val="00623450"/>
    <w:rsid w:val="00785C24"/>
    <w:rsid w:val="00862A8E"/>
    <w:rsid w:val="0086798E"/>
    <w:rsid w:val="00935CD3"/>
    <w:rsid w:val="00A24726"/>
    <w:rsid w:val="00A47C22"/>
    <w:rsid w:val="00A55B68"/>
    <w:rsid w:val="00A60E57"/>
    <w:rsid w:val="00AE564D"/>
    <w:rsid w:val="00B02384"/>
    <w:rsid w:val="00B13A7B"/>
    <w:rsid w:val="00C4528B"/>
    <w:rsid w:val="00D3413D"/>
    <w:rsid w:val="00D55AB2"/>
    <w:rsid w:val="00EF10C5"/>
    <w:rsid w:val="00F401D9"/>
    <w:rsid w:val="00F75C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47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4726"/>
    <w:rPr>
      <w:sz w:val="20"/>
      <w:szCs w:val="20"/>
    </w:rPr>
  </w:style>
  <w:style w:type="character" w:styleId="FootnoteReference">
    <w:name w:val="footnote reference"/>
    <w:basedOn w:val="DefaultParagraphFont"/>
    <w:uiPriority w:val="99"/>
    <w:semiHidden/>
    <w:unhideWhenUsed/>
    <w:rsid w:val="00A247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47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24726"/>
    <w:rPr>
      <w:sz w:val="20"/>
      <w:szCs w:val="20"/>
    </w:rPr>
  </w:style>
  <w:style w:type="character" w:styleId="FootnoteReference">
    <w:name w:val="footnote reference"/>
    <w:basedOn w:val="DefaultParagraphFont"/>
    <w:uiPriority w:val="99"/>
    <w:semiHidden/>
    <w:unhideWhenUsed/>
    <w:rsid w:val="00A247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386</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28</cp:revision>
  <dcterms:created xsi:type="dcterms:W3CDTF">2018-12-14T17:44:00Z</dcterms:created>
  <dcterms:modified xsi:type="dcterms:W3CDTF">2020-08-23T04:04:00Z</dcterms:modified>
</cp:coreProperties>
</file>